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31</w:t>
      </w:r>
    </w:p>
    <w:p>
      <w:r>
        <w:t>Bundesgericht (BGE), 2012-10-12, DE</w:t>
      </w:r>
    </w:p>
    <w:p>
      <w:r>
        <w:rPr>
          <w:b/>
        </w:rPr>
        <w:t xml:space="preserve">Quelle: </w:t>
      </w:r>
      <w:r>
        <w:t>https://mcp.opencaselaw.ch/entscheid/bge_139 I 31</w:t>
      </w:r>
    </w:p>
    <w:p>
      <w:r>
        <w:t>FR: ATF 139 I 31</w:t>
      </w:r>
    </w:p>
    <w:p>
      <w:r>
        <w:t>IT: DTF 139 I 31</w:t>
      </w:r>
    </w:p>
    <w:p>
      <w:pPr>
        <w:pStyle w:val="Heading2"/>
      </w:pPr>
      <w:r>
        <w:t>Regeste</w:t>
      </w:r>
    </w:p>
    <w:p>
      <w:r>
        <w:t>Regeste Art. 8 EMRK; Art. 121 Abs. 3 BV (Fassung vom 28. November 2010); Art. 63 Abs. 1 lit. a i.V.m. Art. 62 lit. b sowie Art. 96 AuG; Widerruf einer Niederlassungsbewilligung bei qualifizierter Widerhandlung gegen das Betäubungsmittelgesetz ("Drogenhandel"). Zusammenfassung der Rechtsprechung zum Widerruf einer Niederlassungsbewilligung bei Straffälligkeit und langjährigem Aufenthalt in der Schweiz; Tragweite von Art. 121 Abs. 3 BV (E. 2). Interessenabwägung im konkreten Fall (E. 3).</w:t>
      </w:r>
    </w:p>
    <w:p>
      <w:pPr>
        <w:pStyle w:val="Heading2"/>
      </w:pPr>
      <w:r>
        <w:t>Erwägungen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BGE 135 II 377 E. 4.2 S. 381; BGE 137 II 297 E. 2). Keine Rolle spielt, ob die Sanktion bedingt, teilbedingt oder unbedingt ausgesprochen wurde (Urteil 2C_515/2009 vom 27. Januar 2010 E. 2.1). Ein Widerruf ist auch möglich, wenn der Ausländer in schwerwiegender Weise gegen die öffentliche Sicherheit und Ordnung in der Schweiz oder im BGE 139 I 31 S. 33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Urteile 2C_562/2011 vom 21. November 2011 E. 3.2 und 2C_310/2011 vom 17. November 2011 E. 5). Die genannten Widerrufsgründe gelten auch, falls der Ausländer sich seit mehr als 15 Jahren ununterbrochen und ordnungsgemäss im Land aufgehalten hat (Art. 63 Abs. 2 AuG).</w:t>
      </w:r>
    </w:p>
    <w:p>
      <w:r>
        <w:rPr>
          <w:b/>
        </w:rPr>
        <w:t>E. 2.2</w:t>
      </w:r>
    </w:p>
    <w:p>
      <w:r>
        <w:t>Mit der Verurteilung zu einer Freiheitsstrafe von 24 Monaten (bedingt) ist der Widerrufsgrund von Art. 62 lit. b (i.V.m. Art. 63 Abs. 1 lit. a) AuG gegeben, was der Beschwerdeführer nicht bestreitet. Die Vorinstanz hat zudem angenommen, dass ein schwerwiegender Verstoss gegen die öffentliche Sicherheit und Ordnung vorliegt; der Beschwerdeführer wendet sich auch nicht hiergegen.</w:t>
      </w:r>
    </w:p>
    <w:p>
      <w:r>
        <w:rPr>
          <w:b/>
        </w:rPr>
        <w:t>E. 2.3.1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das Urteil des Europäischen Gerichtshofs für Menschenrechte [EGMR] Trabelsi gegen Deutschland vom 13. Oktober 2011 [Nr. 41548/06] §§ 53 ff., bezüglich der Ausweisung eines in Deutschland geborenen, wiederholt straffällig gewordenen Tunesiers). Bei schweren Straftaten, Rückfall und wiederholter Delinquenz besteht - überwiegende private oder familiäre Bindungen vorbehalten - auch in diesen Fällen ein öffentliches BGE 139 I 31 S. 34 Interesse daran, zur Aufrechterhaltung der Ordnung bzw. Verhütung von (weiteren) Straftaten die Anwesenheit des Ausländers zu beenden (vgl. das Urteil 2C_903/2010 vom 6. Juni 2011 E. 3.1, nicht publ. in BGE 137 II 233 ; BGE 130 II 176 E. 4.4.2 S. 190 [vier Jahre Zuchthaus; Raub, Brandstiftung, Betrug usw.]; BGE 122 II 433 FE. 3 [Einweisung in eine Arbeitserziehungsanstalt bzw. dreieinhalb Jahre Zuchthaus; Mord, qualifizierter Raub, Vergewaltigung]).</w:t>
      </w:r>
    </w:p>
    <w:p>
      <w:r>
        <w:rPr>
          <w:b/>
        </w:rPr>
        <w:t>E. 2.3.2</w:t>
      </w:r>
    </w:p>
    <w:p>
      <w:r>
        <w:t>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 BGE 130 II 176 E. 4.2-4.4 S. 185 ff. mit Hinweisen). Das Bundesgericht stuft - in Übereinstimmung mit der in Europa vorherrschenden Auffassung (vgl. die EGMR-Urteile Dalia gegen Frankreich vom 19. Februar 1998 , Recueil CourEDH 1998-I S. 92 § 54 und Koffi gegen Schweiz vom 15. November 2012 [Nr. 38005/07] § 65) - diesbezüglich das öffentliche Interesse an der Wegweisung bzw. an der Fernhaltung eines entsprechenden Täters hoch ein ( BGE 129 II 215 E. 6 und 7; BGE 125 II 521 E. 4a/aa S. 527). Der Drogenhandel ist eine der in Art. 121 Abs. 3 BV (Fassung vom 28. November 2010) genannten Anlasstaten, die nach dem Verfassungsgeber dazu führen soll, dass der entsprechende Täter aus der Schweiz ausgewiesen und mit einem Einreiseverbot belegt wird. Der entsprechenden Wertung ist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Der Grundsatz, wonach unter mehreren möglichen Auslegungen diejenige zu wählen ist, die der Verfassung am besten entspricht, ist allgemein anerkannt (statt vieler BGE 131 II 562 E. 3.5; BGE 131 III 623 E. 2.4.4 S. 630; BGE 131 IV 23 E. 3.1, BGE 131 IV 160 E. 3.3.1; BGE 130 II 65 E. 4.2 S. 71) und bezieht sich insbesondere auch auf Verfassungsbestimmungen, die - wie die Regelung in Art. 121 Abs. 3-6 BV (vgl. BGE 139 I 16 ) - nicht unmittelbar anwendbar sind (vgl. BGE 131 V 9 E. 3.5.1.2 S. 16).</w:t>
      </w:r>
    </w:p>
    <w:p>
      <w:r>
        <w:rPr>
          <w:b/>
        </w:rPr>
        <w:t>E. 2.3.3</w:t>
      </w:r>
    </w:p>
    <w:p>
      <w:r>
        <w:t>Der Europäische Gerichtshof für Menschenrechte stützt sich bei der Beurteilung der Zulässigkeit aufenthaltsbeendender BGE 139 I 31 S. 35 Massnahmen im Rahmen von Art. 8 Ziff. 2 EMRK (Schutz des Privat- und Familienlebens)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 Emre gegen die Schweiz vom 22. Mai 2008 [Nr. 42034/04] § 64 ff. [Verurteilung zu insgesamt 18 ½ Monaten Freiheitsentzug wegen Drohung, Körperverletzung,Tätlichkeiten, Diebstahls usw. - Verletzung von Art. 8 EMRK ] undUrteil Boultif gegen die Schweiz vom 2. August 2001 [Nr. 54273/00]§ 46 ff. [Verurteilung wegen Raubes zu einer Zuchthausstrafe von zwei Jahren - Verletzung von Art. 8 EMRK ]). Nach der Praxis desEGMR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(vgl. KARL-GEORG MAYER, Systemwechsel im Ausweisungsrecht - der Schutz "faktischer Inländer" mit und ohne familiäre Bindungen nach dem Grundgesetz und der Europäischen Menschenrechtskonvention [EMRK], Verwaltungs-Archiv101/2010 S. 482 ff., dort 537). Im Urteil Balogun gegen Vereinigtes Königreich vom 10. April 2012 (Nr. 60286/09) verneinte der EGMR eine Verletzung von Art. 8 EMRK bei der Ausweisung eines mit drei Jahren eingereisten Nigerianers, der wegen Drogenhandels im Erwachsenenalter zu drei Jahren Freiheitsstrafe verurteilt worden ist. In der Sache Maslov gegen Österreich vom 23. Juni 2008 (Nr. 1638/03) erkannte die Grosse Kammer auf eine Verletzung von Art. 8 EMRK in einem Fall, in dem es um die Aufenthaltsbeendigung eines als Kind eingereisten, wegen verschiedener Delikte (gewerbsmässigen Bandendiebstahls, Bandenbildung, Erpressung, Köperverletzung usw.) zu 18 und 15 Monaten Freiheitsstrafe verurteilten drogenabhängigen Bulgaren ging (vgl. dort §§ 77 ff.). Hinsichtlich des BGE 139 I 31 S. 36 Strafrahmens von drei Jahren ist zu berücksichtigen, dass Drogendelikte nicht überall in gleicher Art verfolgt und bestraft werden, weshalb die entsprechende Grenze nur als Richtwert dienen kann; ausschlaggebend sind immer die Umstände des Einzelfalls.</w:t>
      </w:r>
    </w:p>
    <w:p>
      <w:r>
        <w:rPr>
          <w:b/>
        </w:rPr>
        <w:t>E. 3.1</w:t>
      </w:r>
    </w:p>
    <w:p>
      <w:r>
        <w:t>Das Verwaltungsgericht des Kantons Thurgau hat den genannten Aspekten angemessen Rechnung getragen und die widerstreitenden Interessen korrekt gegeneinander abgewogen; sein Entscheid verletzt weder Bundes(verfassungs)- noch Konventionsrecht: Der Beschwerdeführer wurde wegen Vermittelns, Beförderns und Lagerns einer erheblichen Menge Heroin zu einer Freiheitsstrafe von 24 Monaten bedingt verurteilt; er hat im Drogenmilieu verschiedene Gehilfenhandlungen im Zusammenhang mit insgesamt rund 4 Kilogramm Heroin erbracht und damit die Gesundheit einer Vielzahl von Menschen gefährdet. Zwar trat er nicht als Haupttäter auf, doch unterstützte er diesen aktiv über rund zwei Monate hinweg; erst die Verhaftung setzte seiner Delinquenz ein Ende. Der Beschwerdeführer befand sich in keiner finanziellen oder persönlichen Notlage; auch war er nicht selber abhängig. Weder die Beziehungen zu seiner hier aufenthaltsberechtigten Familie (Eltern, Geschwister) noch die von ihm heute hervorgehobene Integration in der Schweiz vermochten ihn davon abzuhalten, sich in entscheidender Weise am Drogenhandel zu beteiligen. Obwohl er zurzeit der Tat erst knapp 20 Jahre alt war, kann nicht gesagt werden, dass es sich dabei um Jugendkriminalität gehandelt hätte. Die zur Diskussion stehenden Tatbeiträge gehen klarerweise hierüber hinaus, auch wenn der Beschwerdeführer unüberlegt und in erster Linie unter dem Druck der Gruppe gehandelt haben will. Die Tatsache, dass er aus reiner Gefälligkeit tätig geworden ist, weist auf eine gewisse Beeinflussbarkeit hin, welche weitere Straftaten nicht ausschliesst.</w:t>
      </w:r>
    </w:p>
    <w:p>
      <w:r>
        <w:rPr>
          <w:b/>
        </w:rPr>
        <w:t>E. 3.2</w:t>
      </w:r>
    </w:p>
    <w:p>
      <w:r>
        <w:t>Im Vergleich zu dem im Verfahren in BGE 139 I 16 beurteilten Fall eines Tatkomplizen ist der Beschwerdeführer schwerer straffällig geworden. Wurde jener wegen der Beteiligung bezüglich eines Kilogramms Heroin zu einer Freiheitsstrafe von 18 Monaten (bedingt) verurteilt, ist gegen ihn eine Strafe von 24 Monaten (bedingt) ergangen. Seine kriminelle Energie war grösser als jene seines Komplizen. Dieser hat sich in der Schweiz gesamthaft zudem besser eingelebt: Er ist zuvor nie - auch nicht jugendrechtlich - straffällig geworden; überdies hat er eine Anlehre abgeschlossen und ist er auf dem Arbeitsmarkt integriert. Der Beschwerdeführer verfügt BGE 139 I 31 S. 37 seinerseits über keine abgeschlossene Berufsausbildung und war von April 2009 bis Oktober 2010 arbeitslos. Zwar ist er heute verlobt, doch lebt das Paar erst seit September 2011 zusammen. Seine Verlobte, welche am 31. Juli 2009 eingebürgert wurde, hält sich seit zehn Jahren in der Schweiz auf, stammt jedoch ursprünglich ebenfalls aus Mazedonien; sie kennt die dortigen Verhältnisse und Gebräuche. Es ist ihr somit zumutbar, den Beschwerdeführer gegebenenfalls auch in ihre frühere Heimat zu begleiten. Dies gilt umso mehr, als sie mit Blick auf die Schwere der Straffälligkeit ihres Verlobten nicht ohne Weiteres davon ausgehen durfte, ihre Beziehung künftig in der Schweiz leben zu können. Der Beschwerdeführer weist daraufhin, dass er in Mazedonien kaum mehr über Familienangehörige verfügt; er vermag damit indessen nicht darzutun, dass er keinerlei Beziehungen mehr zu seiner Heimat unterhielte, zumal er seine Straftaten mit Landsleuten begangen hat und er Albanisch spricht, womit er in seiner Heimat zumindest in einer Minderheitensprache wird kommunizieren können. Die Beziehungen zu seinen Familienangehörigen kann er von dort aus besuchsweise bzw. über die neuen Kommunikationsmittel aufrechterhalten. Dass der Beschwerdeführer sich seit seiner Verhaftung bzw. Verurteilung nichts mehr hat zuschulden kommen lassen, spricht nicht zwingend gegen eine Rückfallgefahr, befand er sich doch in der strafrechtlichen Probezeit; zudem war das aufenthaltsrechtliche Widerrufsverfahren noch hängig. Wenn ausländischen Staatsangehörigen bei Straffälligkeit schliesslich fremdenrechtlich andere Konsequenzen drohen als Schweizer Bürgern, liegt dies in der Natur der Sache; es besteht mit der Staatsbürgerschaft diesbezüglich ein sachlicher Grund für die behauptete Ungleichbehandlung.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